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466" w:tblpY="1578"/>
        <w:tblOverlap w:val="never"/>
        <w:tblW w:w="9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90"/>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819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89"/>
                <w:kern w:val="0"/>
                <w:sz w:val="60"/>
                <w:szCs w:val="60"/>
                <w:vertAlign w:val="baseline"/>
                <w:lang w:val="en-US" w:eastAsia="zh-CN"/>
              </w:rPr>
            </w:pPr>
            <w:r>
              <w:rPr>
                <w:rFonts w:hint="eastAsia" w:ascii="方正小标宋简体" w:hAnsi="方正小标宋简体" w:eastAsia="方正小标宋简体" w:cs="方正小标宋简体"/>
                <w:color w:val="FF0000"/>
                <w:w w:val="89"/>
                <w:kern w:val="0"/>
                <w:sz w:val="60"/>
                <w:szCs w:val="60"/>
                <w:vertAlign w:val="baseline"/>
                <w:lang w:val="en-US" w:eastAsia="zh-CN"/>
              </w:rPr>
              <w:t>聊城市城市管理局</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89"/>
                <w:kern w:val="0"/>
                <w:sz w:val="60"/>
                <w:szCs w:val="60"/>
                <w:vertAlign w:val="baseline"/>
                <w:lang w:val="en-US" w:eastAsia="zh-CN"/>
              </w:rPr>
            </w:pPr>
            <w:r>
              <w:rPr>
                <w:rFonts w:hint="eastAsia" w:ascii="方正小标宋简体" w:hAnsi="方正小标宋简体" w:eastAsia="方正小标宋简体" w:cs="方正小标宋简体"/>
                <w:color w:val="FF0000"/>
                <w:w w:val="89"/>
                <w:kern w:val="0"/>
                <w:sz w:val="60"/>
                <w:szCs w:val="60"/>
                <w:vertAlign w:val="baseline"/>
                <w:lang w:val="en-US" w:eastAsia="zh-CN"/>
              </w:rPr>
              <w:t>聊城市住房和城乡建设局</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89"/>
                <w:kern w:val="0"/>
                <w:sz w:val="60"/>
                <w:szCs w:val="60"/>
                <w:vertAlign w:val="baseline"/>
                <w:lang w:val="en-US" w:eastAsia="zh-CN"/>
              </w:rPr>
            </w:pPr>
            <w:r>
              <w:rPr>
                <w:rFonts w:hint="eastAsia" w:ascii="方正小标宋简体" w:hAnsi="方正小标宋简体" w:eastAsia="方正小标宋简体" w:cs="方正小标宋简体"/>
                <w:color w:val="FF0000"/>
                <w:w w:val="89"/>
                <w:kern w:val="0"/>
                <w:sz w:val="60"/>
                <w:szCs w:val="60"/>
                <w:vertAlign w:val="baseline"/>
                <w:lang w:val="en-US" w:eastAsia="zh-CN"/>
              </w:rPr>
              <w:t>聊城市发展和改革委员会</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89"/>
                <w:kern w:val="0"/>
                <w:sz w:val="60"/>
                <w:szCs w:val="60"/>
                <w:vertAlign w:val="baseline"/>
                <w:lang w:val="en-US" w:eastAsia="zh-CN"/>
              </w:rPr>
            </w:pPr>
            <w:r>
              <w:rPr>
                <w:rFonts w:hint="eastAsia" w:ascii="方正小标宋简体" w:hAnsi="方正小标宋简体" w:eastAsia="方正小标宋简体" w:cs="方正小标宋简体"/>
                <w:color w:val="FF0000"/>
                <w:w w:val="89"/>
                <w:kern w:val="0"/>
                <w:sz w:val="60"/>
                <w:szCs w:val="60"/>
                <w:vertAlign w:val="baseline"/>
                <w:lang w:val="en-US" w:eastAsia="zh-CN"/>
              </w:rPr>
              <w:t>聊城市行政审批服务局</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89"/>
                <w:kern w:val="0"/>
                <w:sz w:val="60"/>
                <w:szCs w:val="60"/>
                <w:vertAlign w:val="baseline"/>
                <w:lang w:val="en-US" w:eastAsia="zh-CN"/>
              </w:rPr>
            </w:pPr>
            <w:r>
              <w:rPr>
                <w:rFonts w:hint="eastAsia" w:ascii="方正小标宋简体" w:hAnsi="方正小标宋简体" w:eastAsia="方正小标宋简体" w:cs="方正小标宋简体"/>
                <w:color w:val="FF0000"/>
                <w:w w:val="89"/>
                <w:kern w:val="0"/>
                <w:sz w:val="60"/>
                <w:szCs w:val="60"/>
                <w:vertAlign w:val="baseline"/>
                <w:lang w:val="en-US" w:eastAsia="zh-CN"/>
              </w:rPr>
              <w:t>聊城市工业和信息化局</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89"/>
                <w:kern w:val="0"/>
                <w:sz w:val="60"/>
                <w:szCs w:val="60"/>
                <w:vertAlign w:val="baseline"/>
                <w:lang w:val="en-US" w:eastAsia="zh-CN"/>
              </w:rPr>
            </w:pPr>
            <w:r>
              <w:rPr>
                <w:rFonts w:hint="eastAsia" w:ascii="方正小标宋简体" w:hAnsi="方正小标宋简体" w:eastAsia="方正小标宋简体" w:cs="方正小标宋简体"/>
                <w:color w:val="FF0000"/>
                <w:w w:val="89"/>
                <w:kern w:val="0"/>
                <w:sz w:val="60"/>
                <w:szCs w:val="60"/>
                <w:vertAlign w:val="baseline"/>
                <w:lang w:val="en-US" w:eastAsia="zh-CN"/>
              </w:rPr>
              <w:t>聊城市公安局</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89"/>
                <w:kern w:val="0"/>
                <w:sz w:val="60"/>
                <w:szCs w:val="60"/>
                <w:vertAlign w:val="baseline"/>
                <w:lang w:val="en-US" w:eastAsia="zh-CN"/>
              </w:rPr>
            </w:pPr>
            <w:r>
              <w:rPr>
                <w:rFonts w:hint="eastAsia" w:ascii="方正小标宋简体" w:hAnsi="方正小标宋简体" w:eastAsia="方正小标宋简体" w:cs="方正小标宋简体"/>
                <w:color w:val="FF0000"/>
                <w:w w:val="89"/>
                <w:kern w:val="0"/>
                <w:sz w:val="60"/>
                <w:szCs w:val="60"/>
                <w:vertAlign w:val="baseline"/>
                <w:lang w:val="en-US" w:eastAsia="zh-CN"/>
              </w:rPr>
              <w:t>聊城市财政局</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89"/>
                <w:kern w:val="0"/>
                <w:sz w:val="60"/>
                <w:szCs w:val="60"/>
                <w:vertAlign w:val="baseline"/>
                <w:lang w:val="en-US" w:eastAsia="zh-CN"/>
              </w:rPr>
            </w:pPr>
            <w:r>
              <w:rPr>
                <w:rFonts w:hint="eastAsia" w:ascii="方正小标宋简体" w:hAnsi="方正小标宋简体" w:eastAsia="方正小标宋简体" w:cs="方正小标宋简体"/>
                <w:color w:val="FF0000"/>
                <w:w w:val="89"/>
                <w:kern w:val="0"/>
                <w:sz w:val="60"/>
                <w:szCs w:val="60"/>
                <w:vertAlign w:val="baseline"/>
                <w:lang w:val="en-US" w:eastAsia="zh-CN"/>
              </w:rPr>
              <w:t>聊城市自然资源和规划局</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89"/>
                <w:kern w:val="0"/>
                <w:sz w:val="60"/>
                <w:szCs w:val="60"/>
                <w:vertAlign w:val="baseline"/>
                <w:lang w:val="en-US" w:eastAsia="zh-CN"/>
              </w:rPr>
            </w:pPr>
            <w:r>
              <w:rPr>
                <w:rFonts w:hint="eastAsia" w:ascii="方正小标宋简体" w:hAnsi="方正小标宋简体" w:eastAsia="方正小标宋简体" w:cs="方正小标宋简体"/>
                <w:color w:val="FF0000"/>
                <w:w w:val="89"/>
                <w:kern w:val="0"/>
                <w:sz w:val="60"/>
                <w:szCs w:val="60"/>
                <w:vertAlign w:val="baseline"/>
                <w:lang w:val="en-US" w:eastAsia="zh-CN"/>
              </w:rPr>
              <w:t>聊城市生态环境局</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89"/>
                <w:kern w:val="0"/>
                <w:sz w:val="60"/>
                <w:szCs w:val="60"/>
                <w:vertAlign w:val="baseline"/>
                <w:lang w:val="en-US" w:eastAsia="zh-CN"/>
              </w:rPr>
            </w:pPr>
            <w:r>
              <w:rPr>
                <w:rFonts w:hint="eastAsia" w:ascii="方正小标宋简体" w:hAnsi="方正小标宋简体" w:eastAsia="方正小标宋简体" w:cs="方正小标宋简体"/>
                <w:color w:val="FF0000"/>
                <w:w w:val="89"/>
                <w:kern w:val="0"/>
                <w:sz w:val="60"/>
                <w:szCs w:val="60"/>
                <w:vertAlign w:val="baseline"/>
                <w:lang w:val="en-US" w:eastAsia="zh-CN"/>
              </w:rPr>
              <w:t>聊城市交通运输局</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89"/>
                <w:kern w:val="0"/>
                <w:sz w:val="60"/>
                <w:szCs w:val="60"/>
                <w:vertAlign w:val="baseline"/>
                <w:lang w:val="en-US" w:eastAsia="zh-CN"/>
              </w:rPr>
            </w:pPr>
            <w:r>
              <w:rPr>
                <w:rFonts w:hint="eastAsia" w:ascii="方正小标宋简体" w:hAnsi="方正小标宋简体" w:eastAsia="方正小标宋简体" w:cs="方正小标宋简体"/>
                <w:color w:val="FF0000"/>
                <w:w w:val="89"/>
                <w:kern w:val="0"/>
                <w:sz w:val="60"/>
                <w:szCs w:val="60"/>
                <w:vertAlign w:val="baseline"/>
                <w:lang w:val="en-US" w:eastAsia="zh-CN"/>
              </w:rPr>
              <w:t>聊城市水利局</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80"/>
                <w:sz w:val="78"/>
                <w:szCs w:val="78"/>
                <w:vertAlign w:val="baseline"/>
                <w:lang w:val="en-US" w:eastAsia="zh-CN"/>
              </w:rPr>
            </w:pPr>
            <w:r>
              <w:rPr>
                <w:rFonts w:hint="eastAsia" w:ascii="方正小标宋简体" w:hAnsi="方正小标宋简体" w:eastAsia="方正小标宋简体" w:cs="方正小标宋简体"/>
                <w:color w:val="FF0000"/>
                <w:w w:val="89"/>
                <w:kern w:val="0"/>
                <w:sz w:val="60"/>
                <w:szCs w:val="60"/>
                <w:vertAlign w:val="baseline"/>
                <w:lang w:val="en-US" w:eastAsia="zh-CN"/>
              </w:rPr>
              <w:t>聊城市农业农村局</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color w:val="FF0000"/>
                <w:sz w:val="78"/>
                <w:szCs w:val="78"/>
                <w:vertAlign w:val="baseline"/>
                <w:lang w:val="en-US" w:eastAsia="zh-CN"/>
              </w:rPr>
            </w:pPr>
            <w:r>
              <w:rPr>
                <w:rFonts w:hint="eastAsia" w:ascii="方正小标宋简体" w:hAnsi="方正小标宋简体" w:eastAsia="方正小标宋简体" w:cs="方正小标宋简体"/>
                <w:color w:val="FF0000"/>
                <w:w w:val="65"/>
                <w:sz w:val="100"/>
                <w:szCs w:val="100"/>
                <w:vertAlign w:val="baseline"/>
                <w:lang w:val="en-US" w:eastAsia="zh-CN"/>
              </w:rPr>
              <w:t>文件</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 xml:space="preserve">                 聊城管字〔2023〕59号</w:t>
      </w:r>
    </w:p>
    <w:p>
      <w:pPr>
        <w:keepNext w:val="0"/>
        <w:keepLines w:val="0"/>
        <w:pageBreakBefore w:val="0"/>
        <w:widowControl w:val="0"/>
        <w:kinsoku/>
        <w:wordWrap/>
        <w:overflowPunct/>
        <w:topLinePunct w:val="0"/>
        <w:autoSpaceDE/>
        <w:autoSpaceDN/>
        <w:bidi w:val="0"/>
        <w:adjustRightInd/>
        <w:snapToGrid/>
        <w:spacing w:before="0" w:beforeLines="0" w:after="0" w:afterLines="0" w:line="680" w:lineRule="exact"/>
        <w:ind w:left="0" w:leftChars="0" w:right="0" w:rightChars="0" w:firstLine="0" w:firstLineChars="0"/>
        <w:jc w:val="both"/>
        <w:textAlignment w:val="auto"/>
        <w:outlineLvl w:val="9"/>
        <w:rPr>
          <w:rFonts w:hint="eastAsia"/>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-133985</wp:posOffset>
                </wp:positionH>
                <wp:positionV relativeFrom="paragraph">
                  <wp:posOffset>79375</wp:posOffset>
                </wp:positionV>
                <wp:extent cx="6038215" cy="33655"/>
                <wp:effectExtent l="0" t="9525" r="635" b="13970"/>
                <wp:wrapNone/>
                <wp:docPr id="1" name="直接连接符 1"/>
                <wp:cNvGraphicFramePr/>
                <a:graphic xmlns:a="http://schemas.openxmlformats.org/drawingml/2006/main">
                  <a:graphicData uri="http://schemas.microsoft.com/office/word/2010/wordprocessingShape">
                    <wps:wsp>
                      <wps:cNvCnPr/>
                      <wps:spPr>
                        <a:xfrm flipV="1">
                          <a:off x="0" y="0"/>
                          <a:ext cx="6038215" cy="3365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55pt;margin-top:6.25pt;height:2.65pt;width:475.45pt;z-index:251659264;mso-width-relative:page;mso-height-relative:page;" filled="f" stroked="t" coordsize="21600,21600" o:gfxdata="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X8W72AAAAAkBAAAPAAAAAAAAAAEAIAAAACIAAABkcnMvZG93&#10;bnJldi54bWxQSwECFAAUAAAACACHTuJAS9c+CQACAADzAwAADgAAAAAAAAABACAAAAAnAQAAZHJz&#10;L2Uyb0RvYy54bWxQSwUGAAAAAAYABgBZAQAAmQUAAAAA&#10;">
                <v:fill on="f" focussize="0,0"/>
                <v:stroke weight="1.5pt" color="#FF0000" joinstyle="round"/>
                <v:imagedata o:title=""/>
                <o:lock v:ext="edit" aspectratio="f"/>
              </v:line>
            </w:pict>
          </mc:Fallback>
        </mc:AlternateContent>
      </w:r>
      <w:r>
        <w:rPr>
          <w:rFonts w:hint="eastAsia" w:ascii="仿宋_GB2312" w:hAnsi="仿宋_GB2312" w:eastAsia="仿宋_GB2312" w:cs="仿宋_GB2312"/>
          <w:color w:val="auto"/>
          <w:sz w:val="32"/>
          <w:szCs w:val="32"/>
          <w:highlight w:val="none"/>
          <w:u w:val="none" w:color="auto"/>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关于印发《聊城市规范建筑垃圾全过程管理</w:t>
      </w:r>
    </w:p>
    <w:p>
      <w:pPr>
        <w:keepNext w:val="0"/>
        <w:keepLines w:val="0"/>
        <w:pageBreakBefore w:val="0"/>
        <w:widowControl/>
        <w:suppressLineNumbers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工作方案》（修订版）的通知</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各县（市、区）综合行政执法局（城市管理局）、住</w:t>
      </w:r>
      <w:bookmarkStart w:id="0" w:name="_GoBack"/>
      <w:bookmarkEnd w:id="0"/>
      <w:r>
        <w:rPr>
          <w:rFonts w:hint="eastAsia" w:ascii="仿宋_GB2312" w:hAnsi="仿宋_GB2312" w:eastAsia="仿宋_GB2312" w:cs="仿宋_GB2312"/>
          <w:b w:val="0"/>
          <w:bCs w:val="0"/>
          <w:color w:val="000000"/>
          <w:kern w:val="0"/>
          <w:sz w:val="32"/>
          <w:szCs w:val="32"/>
          <w:lang w:val="en-US" w:eastAsia="zh-CN" w:bidi="ar"/>
        </w:rPr>
        <w:t>房和城乡建设局、行政审批服务局、发展和改革局、工业和信息化局、公安局、财政局、自然资源和规划局、生态环境分局、交通运输局、水利局、农业农村局，市属开发区相关部门：</w:t>
      </w:r>
    </w:p>
    <w:p>
      <w:pPr>
        <w:keepNext w:val="0"/>
        <w:keepLines w:val="0"/>
        <w:pageBreakBefore w:val="0"/>
        <w:widowControl w:val="0"/>
        <w:suppressLineNumbers w:val="0"/>
        <w:kinsoku/>
        <w:wordWrap/>
        <w:overflowPunct/>
        <w:topLinePunct w:val="0"/>
        <w:autoSpaceDE/>
        <w:autoSpaceDN/>
        <w:bidi w:val="0"/>
        <w:adjustRightInd/>
        <w:snapToGrid/>
        <w:ind w:firstLine="64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现将《聊城市规范建筑垃圾全过程管理工作方案》（修订版）印发给你们，请结合实际，认真贯彻落实。</w:t>
      </w: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firstLine="0" w:firstLineChars="0"/>
        <w:rPr>
          <w:rFonts w:hint="eastAsia"/>
          <w:lang w:val="en-US" w:eastAsia="zh-CN"/>
        </w:rPr>
      </w:pPr>
    </w:p>
    <w:p>
      <w:pPr>
        <w:pStyle w:val="3"/>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320" w:firstLineChars="100"/>
        <w:jc w:val="both"/>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聊城市城市管理局            聊城市住房和城乡建设局</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640"/>
        <w:jc w:val="both"/>
        <w:rPr>
          <w:rFonts w:hint="eastAsia" w:ascii="仿宋_GB2312" w:hAnsi="仿宋_GB2312" w:eastAsia="仿宋_GB2312" w:cs="仿宋_GB2312"/>
          <w:b w:val="0"/>
          <w:bCs w:val="0"/>
          <w:color w:val="000000"/>
          <w:kern w:val="0"/>
          <w:sz w:val="32"/>
          <w:szCs w:val="32"/>
          <w:lang w:val="en-US" w:eastAsia="zh-CN" w:bidi="ar"/>
        </w:rPr>
      </w:pPr>
    </w:p>
    <w:p>
      <w:pPr>
        <w:pStyle w:val="2"/>
        <w:ind w:left="0" w:leftChars="0" w:firstLine="0" w:firstLineChars="0"/>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rPr>
          <w:rFonts w:hint="eastAsia"/>
          <w:lang w:val="en-US" w:eastAsia="zh-CN"/>
        </w:rPr>
      </w:pPr>
    </w:p>
    <w:p>
      <w:pPr>
        <w:pStyle w:val="3"/>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320" w:firstLineChars="100"/>
        <w:jc w:val="both"/>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聊城市发展和改革委员会         聊城市行政审批服务局</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640"/>
        <w:jc w:val="both"/>
        <w:rPr>
          <w:rFonts w:hint="eastAsia" w:ascii="仿宋_GB2312" w:hAnsi="仿宋_GB2312" w:eastAsia="仿宋_GB2312" w:cs="仿宋_GB2312"/>
          <w:b w:val="0"/>
          <w:bCs w:val="0"/>
          <w:color w:val="000000"/>
          <w:kern w:val="0"/>
          <w:sz w:val="32"/>
          <w:szCs w:val="32"/>
          <w:lang w:val="en-US" w:eastAsia="zh-CN" w:bidi="ar"/>
        </w:rPr>
      </w:pPr>
    </w:p>
    <w:p>
      <w:pPr>
        <w:pStyle w:val="2"/>
        <w:ind w:left="0" w:leftChars="0" w:firstLine="0" w:firstLineChars="0"/>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rPr>
          <w:rFonts w:hint="eastAsia"/>
          <w:lang w:val="en-US" w:eastAsia="zh-CN"/>
        </w:rPr>
      </w:pPr>
    </w:p>
    <w:p>
      <w:pPr>
        <w:pStyle w:val="3"/>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320" w:firstLineChars="100"/>
        <w:jc w:val="both"/>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聊城市工业和信息化局               聊城市公安局</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640"/>
        <w:jc w:val="both"/>
        <w:rPr>
          <w:rFonts w:hint="eastAsia" w:ascii="仿宋_GB2312" w:hAnsi="仿宋_GB2312" w:eastAsia="仿宋_GB2312" w:cs="仿宋_GB2312"/>
          <w:b w:val="0"/>
          <w:bCs w:val="0"/>
          <w:color w:val="000000"/>
          <w:kern w:val="0"/>
          <w:sz w:val="32"/>
          <w:szCs w:val="32"/>
          <w:lang w:val="en-US" w:eastAsia="zh-CN" w:bidi="ar"/>
        </w:rPr>
      </w:pPr>
    </w:p>
    <w:p>
      <w:pPr>
        <w:pStyle w:val="2"/>
        <w:ind w:left="0" w:leftChars="0" w:firstLine="0" w:firstLineChars="0"/>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rPr>
          <w:rFonts w:hint="eastAsia"/>
          <w:lang w:val="en-US" w:eastAsia="zh-CN"/>
        </w:rPr>
      </w:pPr>
    </w:p>
    <w:p>
      <w:pPr>
        <w:pStyle w:val="3"/>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960" w:firstLineChars="300"/>
        <w:jc w:val="both"/>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聊城市财政局              聊城市自然资源和规划局</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640"/>
        <w:jc w:val="both"/>
        <w:rPr>
          <w:rFonts w:hint="eastAsia" w:ascii="仿宋_GB2312" w:hAnsi="仿宋_GB2312" w:eastAsia="仿宋_GB2312" w:cs="仿宋_GB2312"/>
          <w:b w:val="0"/>
          <w:bCs w:val="0"/>
          <w:color w:val="000000"/>
          <w:kern w:val="0"/>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320" w:firstLineChars="100"/>
        <w:jc w:val="both"/>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320" w:firstLineChars="100"/>
        <w:jc w:val="both"/>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聊城市生态环境局                 聊城市交通运输局</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b w:val="0"/>
          <w:bCs w:val="0"/>
          <w:color w:val="000000"/>
          <w:kern w:val="0"/>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line="240" w:lineRule="auto"/>
        <w:rPr>
          <w:rFonts w:hint="eastAsia"/>
          <w:lang w:val="en-US" w:eastAsia="zh-CN"/>
        </w:rPr>
      </w:pPr>
    </w:p>
    <w:p>
      <w:pPr>
        <w:pStyle w:val="3"/>
        <w:rPr>
          <w:rFonts w:hint="eastAsia"/>
          <w:lang w:val="en-US" w:eastAsia="zh-CN"/>
        </w:rPr>
      </w:pPr>
    </w:p>
    <w:p>
      <w:pPr>
        <w:pStyle w:val="4"/>
        <w:jc w:val="both"/>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聊城市水利局                   聊城市农业农村局</w:t>
      </w:r>
    </w:p>
    <w:p>
      <w:pPr>
        <w:keepNext w:val="0"/>
        <w:keepLines w:val="0"/>
        <w:pageBreakBefore w:val="0"/>
        <w:widowControl w:val="0"/>
        <w:suppressLineNumbers w:val="0"/>
        <w:kinsoku/>
        <w:wordWrap/>
        <w:overflowPunct/>
        <w:topLinePunct w:val="0"/>
        <w:autoSpaceDE/>
        <w:autoSpaceDN/>
        <w:bidi w:val="0"/>
        <w:adjustRightInd/>
        <w:snapToGrid/>
        <w:spacing w:line="700" w:lineRule="exact"/>
        <w:ind w:firstLine="641"/>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
        </w:rPr>
        <w:t xml:space="preserve">                               2023年12月1日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（此件主动公开）</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pPr>
        <w:keepNext w:val="0"/>
        <w:keepLines w:val="0"/>
        <w:widowControl/>
        <w:suppressLineNumbers w:val="0"/>
        <w:jc w:val="center"/>
        <w:rPr>
          <w:rFonts w:hint="eastAsia" w:ascii="方正小标宋简体" w:hAnsi="方正小标宋简体" w:eastAsia="方正小标宋简体" w:cs="方正小标宋简体"/>
          <w:b/>
          <w:bCs/>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聊城市规范建筑垃圾全过程管理工作方案</w:t>
      </w:r>
    </w:p>
    <w:p>
      <w:pPr>
        <w:keepNext w:val="0"/>
        <w:keepLines w:val="0"/>
        <w:widowControl/>
        <w:suppressLineNumbers w:val="0"/>
        <w:ind w:firstLine="440" w:firstLineChars="200"/>
        <w:jc w:val="both"/>
        <w:rPr>
          <w:rFonts w:hint="eastAsia" w:ascii="仿宋_GB2312" w:hAnsi="仿宋_GB2312" w:eastAsia="仿宋_GB2312" w:cs="仿宋_GB2312"/>
          <w:b w:val="0"/>
          <w:bCs w:val="0"/>
          <w:color w:val="000000"/>
          <w:kern w:val="0"/>
          <w:sz w:val="22"/>
          <w:szCs w:val="2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为规范全市建筑垃圾管理,提高建筑垃圾治理水平,根据山东省住房和城乡建设厅等部门《关于印发&lt;关于规范建筑垃圾全过程管理工作的若干措施&gt;的通知》（鲁建城管字〔2022〕10号）《聊城市人民政府关于印发聊城市“十四五”时期“无废城市”建设实施方案的通知》（聊政字〔2022〕35号）要求,结合我市实际,制定本方案。</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一、总体要求</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以习近平生态文明思想为指导，深入贯彻落实党的二十大精神，按照中央、省、市建筑垃圾治理工作安排，理顺建筑垃圾管理体制，推进建筑垃圾源头减量，严格建筑垃圾运输监管，拓展建筑垃圾直接利用渠道，推进建筑垃圾资源化利用设施和消纳场建设，健全建筑垃圾治理体系，助力无废城市建设，改善城乡人居环境，为建设“六个新聊城”提供保障。</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职责分工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建筑垃圾治理坚持属地管理为主，各县（市、区）为建筑垃圾治理主体，负责辖区内建筑垃圾全过程管理工作。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市城市管理局负责市中心城区湖南路、光岳路、财干路、海源路（含）范围内建筑垃圾运输和处置管理，</w:t>
      </w:r>
      <w:r>
        <w:rPr>
          <w:rFonts w:hint="eastAsia" w:ascii="仿宋_GB2312" w:hAnsi="仿宋_GB2312" w:eastAsia="仿宋_GB2312" w:cs="仿宋_GB2312"/>
          <w:color w:val="000000"/>
          <w:kern w:val="0"/>
          <w:sz w:val="32"/>
          <w:szCs w:val="32"/>
        </w:rPr>
        <w:t>统筹</w:t>
      </w:r>
      <w:r>
        <w:rPr>
          <w:rFonts w:hint="eastAsia" w:ascii="仿宋_GB2312" w:hAnsi="仿宋_GB2312" w:eastAsia="仿宋_GB2312" w:cs="仿宋_GB2312"/>
          <w:color w:val="000000"/>
          <w:kern w:val="0"/>
          <w:sz w:val="32"/>
          <w:szCs w:val="32"/>
          <w:lang w:eastAsia="zh-CN"/>
        </w:rPr>
        <w:t>全市</w:t>
      </w:r>
      <w:r>
        <w:rPr>
          <w:rFonts w:hint="eastAsia" w:ascii="仿宋_GB2312" w:hAnsi="仿宋_GB2312" w:eastAsia="仿宋_GB2312" w:cs="仿宋_GB2312"/>
          <w:color w:val="000000"/>
          <w:kern w:val="0"/>
          <w:sz w:val="32"/>
          <w:szCs w:val="32"/>
        </w:rPr>
        <w:t>建筑垃圾消纳场、转运调配场的建设</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对建筑垃圾消纳场、转运调配场的建设与运行管理工作进行指导、监督和考核。</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市住房和城乡建设局负责监督指导建筑工地、拆迁工地建筑垃圾源头减量</w:t>
      </w:r>
      <w:r>
        <w:rPr>
          <w:rFonts w:hint="default" w:ascii="仿宋_GB2312" w:hAnsi="仿宋_GB2312" w:eastAsia="仿宋_GB2312" w:cs="仿宋_GB2312"/>
          <w:b w:val="0"/>
          <w:bCs w:val="0"/>
          <w:color w:val="000000"/>
          <w:kern w:val="0"/>
          <w:sz w:val="32"/>
          <w:szCs w:val="32"/>
          <w:lang w:val="en" w:eastAsia="zh-CN" w:bidi="ar"/>
        </w:rPr>
        <w:t>,</w:t>
      </w:r>
      <w:r>
        <w:rPr>
          <w:rFonts w:hint="eastAsia" w:ascii="仿宋_GB2312" w:hAnsi="仿宋_GB2312" w:eastAsia="仿宋_GB2312" w:cs="仿宋_GB2312"/>
          <w:b w:val="0"/>
          <w:bCs w:val="0"/>
          <w:color w:val="000000"/>
          <w:kern w:val="0"/>
          <w:sz w:val="32"/>
          <w:szCs w:val="32"/>
          <w:lang w:val="en-US" w:eastAsia="zh-CN" w:bidi="ar"/>
        </w:rPr>
        <w:t>装修垃圾收运、农村建筑垃圾治理工作。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FF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市交通运输局负责交通运输工程的建筑垃圾源头管控。</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i w:val="0"/>
          <w:iCs w:val="0"/>
          <w:caps w:val="0"/>
          <w:color w:val="auto"/>
          <w:spacing w:val="0"/>
          <w:sz w:val="32"/>
          <w:szCs w:val="32"/>
          <w:u w:val="none"/>
          <w:lang w:eastAsia="zh-CN"/>
        </w:rPr>
        <w:t>市</w:t>
      </w:r>
      <w:r>
        <w:rPr>
          <w:rFonts w:hint="eastAsia" w:ascii="仿宋_GB2312" w:hAnsi="仿宋_GB2312" w:eastAsia="仿宋_GB2312" w:cs="仿宋_GB2312"/>
          <w:i w:val="0"/>
          <w:iCs w:val="0"/>
          <w:caps w:val="0"/>
          <w:color w:val="auto"/>
          <w:spacing w:val="0"/>
          <w:sz w:val="32"/>
          <w:szCs w:val="32"/>
          <w:u w:val="none"/>
        </w:rPr>
        <w:t>公安</w:t>
      </w:r>
      <w:r>
        <w:rPr>
          <w:rFonts w:hint="eastAsia" w:ascii="仿宋_GB2312" w:hAnsi="仿宋_GB2312" w:eastAsia="仿宋_GB2312" w:cs="仿宋_GB2312"/>
          <w:i w:val="0"/>
          <w:iCs w:val="0"/>
          <w:caps w:val="0"/>
          <w:color w:val="auto"/>
          <w:spacing w:val="0"/>
          <w:sz w:val="32"/>
          <w:szCs w:val="32"/>
          <w:u w:val="none"/>
          <w:lang w:eastAsia="zh-CN"/>
        </w:rPr>
        <w:t>局</w:t>
      </w:r>
      <w:r>
        <w:rPr>
          <w:rFonts w:hint="eastAsia" w:ascii="仿宋_GB2312" w:hAnsi="仿宋_GB2312" w:eastAsia="仿宋_GB2312" w:cs="仿宋_GB2312"/>
          <w:i w:val="0"/>
          <w:iCs w:val="0"/>
          <w:caps w:val="0"/>
          <w:color w:val="auto"/>
          <w:spacing w:val="0"/>
          <w:sz w:val="32"/>
          <w:szCs w:val="32"/>
          <w:u w:val="none"/>
        </w:rPr>
        <w:t>负责建筑垃圾运输车辆道路通行和交通安全的监督管理</w:t>
      </w:r>
      <w:r>
        <w:rPr>
          <w:rFonts w:hint="eastAsia" w:ascii="仿宋_GB2312" w:hAnsi="仿宋_GB2312" w:eastAsia="仿宋_GB2312" w:cs="仿宋_GB2312"/>
          <w:i w:val="0"/>
          <w:iCs w:val="0"/>
          <w:caps w:val="0"/>
          <w:color w:val="auto"/>
          <w:spacing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t>市行政审批服务局负责城市建筑垃圾处置核准等行政许可工作，指导县（市、区）建筑垃圾处置核准工作。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市水利局负责水利工程的建筑垃圾源头管控工作。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i w:val="0"/>
          <w:iCs w:val="0"/>
          <w:caps w:val="0"/>
          <w:color w:val="auto"/>
          <w:spacing w:val="0"/>
          <w:sz w:val="32"/>
          <w:szCs w:val="32"/>
          <w:u w:val="none"/>
          <w:lang w:eastAsia="zh-CN"/>
        </w:rPr>
        <w:t>发展改革、自然资源规划、</w:t>
      </w:r>
      <w:r>
        <w:rPr>
          <w:rFonts w:hint="eastAsia" w:ascii="仿宋_GB2312" w:hAnsi="仿宋_GB2312" w:eastAsia="仿宋_GB2312" w:cs="仿宋_GB2312"/>
          <w:i w:val="0"/>
          <w:iCs w:val="0"/>
          <w:caps w:val="0"/>
          <w:color w:val="auto"/>
          <w:spacing w:val="0"/>
          <w:sz w:val="32"/>
          <w:szCs w:val="32"/>
          <w:u w:val="none"/>
        </w:rPr>
        <w:t>财政、生态环境、</w:t>
      </w:r>
      <w:r>
        <w:rPr>
          <w:rFonts w:hint="eastAsia" w:ascii="仿宋_GB2312" w:hAnsi="仿宋_GB2312" w:eastAsia="仿宋_GB2312" w:cs="仿宋_GB2312"/>
          <w:i w:val="0"/>
          <w:iCs w:val="0"/>
          <w:caps w:val="0"/>
          <w:color w:val="auto"/>
          <w:spacing w:val="0"/>
          <w:sz w:val="32"/>
          <w:szCs w:val="32"/>
          <w:u w:val="none"/>
          <w:lang w:eastAsia="zh-CN"/>
        </w:rPr>
        <w:t>工业和信息化、农业农村</w:t>
      </w:r>
      <w:r>
        <w:rPr>
          <w:rFonts w:hint="eastAsia" w:ascii="仿宋_GB2312" w:hAnsi="仿宋_GB2312" w:eastAsia="仿宋_GB2312" w:cs="仿宋_GB2312"/>
          <w:i w:val="0"/>
          <w:iCs w:val="0"/>
          <w:caps w:val="0"/>
          <w:color w:val="auto"/>
          <w:spacing w:val="0"/>
          <w:sz w:val="32"/>
          <w:szCs w:val="32"/>
          <w:u w:val="none"/>
        </w:rPr>
        <w:t>等主管部门在各自职责范围内做好建筑垃圾管理工作。</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三、重点工作任务</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color w:val="000000"/>
          <w:kern w:val="0"/>
          <w:sz w:val="32"/>
          <w:szCs w:val="32"/>
          <w:lang w:val="en-US" w:eastAsia="zh-CN" w:bidi="ar"/>
        </w:rPr>
        <w:t xml:space="preserve">（一）加强规划编制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结合山东省住房和城乡建设厅等部门《关于印发&lt;山东省建筑垃圾治理工作计划（2022-2025年）&gt;的通知》要求，2023年底前,市、县(市、区)依法编制建筑垃圾治理专项规划或建筑垃圾治理工作计划,并就目标指标、重点任务等做好与本级国民经济和社会发展规划、国土空间规划、生态环境保护规划、环境卫生规划等规划的衔接。(责任单位:市住房和城乡建设局、市城管局、市自然资源和规划局、市发展改革委，各县（市、区）政府、市属开发区管委会)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color w:val="000000"/>
          <w:kern w:val="0"/>
          <w:sz w:val="32"/>
          <w:szCs w:val="32"/>
          <w:lang w:val="en-US" w:eastAsia="zh-CN" w:bidi="ar"/>
        </w:rPr>
        <w:t xml:space="preserve">（二）推动源头减量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1.压实减量责任。建立健全住房城乡建设主管部门牵头的建筑垃圾减量化工作机制,交通运输、水利部门分别负责交通运输、水利工程的建筑垃圾源头管控。坚持“谁产生、谁负责”,严格落实建设单位建筑垃圾减量化和处理首要责任。建设单位将建筑垃圾减量化目标和措施纳入招标文件和合同文本,建筑垃圾减量化措施费用纳入工程概算,并监督设计、施工、监理单位落实。(责任单位:市住房和城乡建设局、市交通运输局、市水利局，各县（市、区）政府、市属开发区管委会)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
        </w:rPr>
        <w:t>2.明确减量要求。落实《关于推进建筑垃圾减量化的指导意见》《施工现场建筑垃圾减量化指导手册(试行)》《山东省建筑垃圾减量化工作实施方案》,开展绿色策划,实施绿色设计,推广绿色施工。设计单位应根据地形地貌合理确定场地标高;建设单位应根据就地取土、不足土方量外进、挖方与填方平衡和运距最短的原则,制定经济合理的土方专项调配方案,最大限度实现土方就地回填;政府投资或政府投资为主的建筑工程全面按照装配式建筑标准建设。对拆除工程原则上要做到即拆即运,宜优先使用移动式处理设备对拆除垃圾实行就地处理,减少外运量。到2025年底,实现新建建筑施工现场工程垃圾排放量控制在200－300吨/万平方米以下。(责任单位:市住房和城乡建设局、各县（市、区）政府、市属开发区管委会)</w:t>
      </w:r>
      <w:r>
        <w:rPr>
          <w:rFonts w:hint="eastAsia" w:ascii="仿宋_GB2312" w:hAnsi="仿宋_GB2312" w:eastAsia="仿宋_GB2312" w:cs="仿宋_GB2312"/>
          <w:b/>
          <w:bCs/>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3.实行备案核准。工程施工单位应当在工程开工前依法编制建筑垃圾处理方案,明确建筑垃圾产生类别和数量、减量目标和措施、分类收集措施、运输和处理方式、污染防治措施等内容,做好现场公示,并依法报工程所在地环境卫生主管部门备案。</w:t>
      </w:r>
      <w:r>
        <w:rPr>
          <w:rFonts w:hint="eastAsia" w:ascii="仿宋_GB2312" w:hAnsi="仿宋_GB2312" w:eastAsia="仿宋_GB2312" w:cs="仿宋_GB2312"/>
          <w:b w:val="0"/>
          <w:bCs w:val="0"/>
          <w:color w:val="000000"/>
          <w:kern w:val="0"/>
          <w:sz w:val="32"/>
          <w:szCs w:val="32"/>
          <w:highlight w:val="none"/>
          <w:lang w:val="en-US" w:eastAsia="zh-CN" w:bidi="ar"/>
        </w:rPr>
        <w:t>2023年底前,市、县(市、区)城市管理局、住房和城乡建设局、行政审批局要联合开展建筑垃圾处理方案备案工作。</w:t>
      </w:r>
      <w:r>
        <w:rPr>
          <w:rFonts w:hint="eastAsia" w:ascii="仿宋_GB2312" w:hAnsi="仿宋_GB2312" w:eastAsia="仿宋_GB2312" w:cs="仿宋_GB2312"/>
          <w:b w:val="0"/>
          <w:bCs w:val="0"/>
          <w:color w:val="000000"/>
          <w:kern w:val="0"/>
          <w:sz w:val="32"/>
          <w:szCs w:val="32"/>
          <w:lang w:val="en-US" w:eastAsia="zh-CN" w:bidi="ar"/>
        </w:rPr>
        <w:t xml:space="preserve">建设单位、施工单位或建筑垃圾运输单位应当申请建筑垃圾处置核准。行政审批部门要及时将审批信息同步反馈环境卫生主管部门。对未进行建筑垃圾处理方案备案和未经核准擅自处置建筑垃圾或随意倾倒、抛撒或堆放建筑垃圾的行为,环境卫生(城管执法)主管部门要加大处罚力度。(责任单位:市城管局、市住房和城乡建设局、市行政审批服务局，各县（市、区）政府、市属开发区管委会)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val="0"/>
          <w:bCs w:val="0"/>
          <w:color w:val="000000"/>
          <w:kern w:val="0"/>
          <w:sz w:val="32"/>
          <w:szCs w:val="32"/>
          <w:lang w:val="en-US" w:eastAsia="zh-CN" w:bidi="ar"/>
        </w:rPr>
        <w:t>（三）强化分类管理</w:t>
      </w:r>
      <w:r>
        <w:rPr>
          <w:rFonts w:hint="eastAsia" w:ascii="楷体_GB2312" w:hAnsi="楷体_GB2312" w:eastAsia="楷体_GB2312" w:cs="楷体_GB2312"/>
          <w:b/>
          <w:bCs/>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1.实施分类管理。对建设工程,按照工程渣土、工程泥浆和工程垃圾等进行分类,鼓励工程渣土就地回填和工程废料循环利用,提高临时设施和周转材料重复利用率。对拆除垃圾,按照可资源化利用建筑垃圾和回填消纳建筑垃圾进行现场分类。鼓励将建筑面积１万平方米以上的拆除项目采取拆除施工单位与资源化利用单位联合招标。禁止将危险废物、工业固体废物、生活垃圾等混入建筑垃圾。(责任单位:市住房和城乡建设局，各县（市、区）政府、市属开发区管委会)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2.建立装修垃圾管理体系。落实街道、社区、小区装修垃圾管理主体责任,有物业服务企业的小区物业服务企业为装修垃圾管理责任人，无物业服务企业的小区及沿街门店装修社区居民委员会为装修垃圾管理责任人。居民小区在内部适宜地点设置专门的装修垃圾暂存点,按照“谁产生、谁付费”的原则,装修业主应承担装修垃圾清运和处置费用。各县（市、区）建立装修垃圾专业收运服务队伍,定期动态公布装修垃圾收运企业目录和处置价格信息,清运至指定地点处置。鼓励</w:t>
      </w:r>
      <w:r>
        <w:rPr>
          <w:rFonts w:hint="eastAsia" w:ascii="仿宋_GB2312" w:eastAsia="仿宋_GB2312"/>
          <w:b w:val="0"/>
          <w:bCs w:val="0"/>
          <w:color w:val="000000"/>
          <w:sz w:val="32"/>
          <w:szCs w:val="32"/>
          <w:lang w:eastAsia="zh-CN"/>
        </w:rPr>
        <w:t>装修业主将装修垃圾按照陶瓷砖石类和轻质包装类进行分类，</w:t>
      </w:r>
      <w:r>
        <w:rPr>
          <w:rFonts w:hint="eastAsia" w:ascii="仿宋_GB2312" w:hAnsi="仿宋_GB2312" w:eastAsia="仿宋_GB2312" w:cs="仿宋_GB2312"/>
          <w:b w:val="0"/>
          <w:bCs w:val="0"/>
          <w:color w:val="000000"/>
          <w:kern w:val="0"/>
          <w:sz w:val="32"/>
          <w:szCs w:val="32"/>
          <w:lang w:val="en-US" w:eastAsia="zh-CN" w:bidi="ar"/>
        </w:rPr>
        <w:t xml:space="preserve">逐步推广装修垃圾预约收运,方便市民、提高效率。(责任单位:市住房和城乡建设局、市城管局，各县（市、区）政府、市属开发区管委会)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3.加强农村建筑垃圾管理。积极探索农村建筑垃圾就地就近消纳方式,鼓励用于村内道路、入户路、景观等建设。村居拆迁建设主体应当按照“谁污染、谁治理”原则承担建筑垃圾治理的主体责任。(责任单位:市住房和城乡建设局，各县（市、区）政府、市属开发区管委会)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color w:val="000000"/>
          <w:kern w:val="0"/>
          <w:sz w:val="32"/>
          <w:szCs w:val="32"/>
          <w:lang w:val="en-US" w:eastAsia="zh-CN" w:bidi="ar"/>
        </w:rPr>
        <w:t xml:space="preserve">（四）严控运输调配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1.严格运输监管。切实加强建筑垃圾运输企业和车辆管理,车辆须密闭运输、安装定位系统,随车携带核准文件,按照规定时间、路线运输。逐步推行建筑垃圾运输车辆从工地、运输到末端处置环节联单记录管理。加快推进智能监管平台建设。建立并实施建筑垃圾运输企业名录管理制度,主动向社会公布建筑垃圾运输企业信息。探索实行信用记录管理,完善信用评价体系,健全市场准入退出机制,逐步推广新能源汽车。城管执法部门会同公安交警、交通运输、生态环境等部门对建筑垃圾运输行为开展联合执法检查,严厉打击无证运输、未密闭运输、超经营范围运输、超速超载、抛撒滴漏、沿途丢弃、不按规定路线与时间运输等违法行为。(责任单位:市城管局、市公安局、市交通运输局、市生态环境局，各县（市、区）政府、市属开发区管委会)</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2.布局转运调配场。根据《山东省住房和城乡建设厅关于印发山东省建筑垃圾消纳场、转运调配场运行管理细则的通知》（鲁建城管字〔2022〕8号）要求，科学布局、合理规划设置建筑垃圾转运调配场。一年内能够进行工程回填、堆坡造景、低洼填平、土地整治等综合利用或资源化利用的建筑垃圾可进入转运调配场。经县级以上政府同意,可选择未利用地、废弃矿坑、废弃地等作为建筑垃圾转运调配场,并依法依规办理各项审批手续,根据后端处理处置设施的要求,配备相应的预处理设施。由建筑垃圾转运调配场所在地环境卫生主管部门指导做好日常监管工作。建立供需市场服务平台等转运调配利用机制,提高转运调配率,最大程度实现工程渣土等产消平衡。加强转运调配场运营监管,确保规范、安全运行。(责任单位:市行政审批服务局、市生态环境局、市住房和城乡建设局、市城管局，各县（市、区）政府、市属开发区管委会)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3.建设装修垃圾分拣场。因地制宜,根据装修垃圾实际产生量,规划建设装修垃圾中转分拣场并向社会公示。对装修垃圾进行集中分拣、分类处置,根据分拣类别纳入生活垃圾、建筑垃圾等相应的处置体系。中转分拣场选址和建设应符合相关规定,并报所在地环境卫生主管部门备案。鼓励依托建筑垃圾资源化利用企业、消纳场等合建或同址建设装修垃圾中转分拣设施,有条件的区域也可与生活垃圾中转站、再生资源和大件垃圾分拣中心等设施合建综合体。装修垃圾未经分拣分类严禁直接回填或填埋。(责任单位:市城管局，各县（市、区）政府、市属开发区管委会)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color w:val="000000"/>
          <w:kern w:val="0"/>
          <w:sz w:val="32"/>
          <w:szCs w:val="32"/>
          <w:lang w:val="en-US" w:eastAsia="zh-CN" w:bidi="ar"/>
        </w:rPr>
        <w:t xml:space="preserve">（五）提升建筑垃圾消纳和资源化利用水平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1.推进资源化利用设施建设。通过特许经营、投资补助、政府购买服务等方式,引导国有资本、社会资本投资建筑垃圾资源化利用设施,政府按照相关规定,通过招标、竞争性谈判等方式确定经营者。培育一批建筑垃圾资源化利用龙头企业。对符合条件的建筑垃圾资源化利用设施,发展改革、自然资源、生态环境、住房城乡建设、城市管理、行政审批等部门开通项目审批绿色通道,在项目立项、用地、规划、环评、核准等方面给予支持。2023年年底前,各县（市、区）至少建成运行１座建筑垃圾资源化利用设施。(责任单位:市住房城乡建设局、市城管局、市发展改革委、市自然资源和规划局、市生态环境局、</w:t>
      </w:r>
      <w:r>
        <w:rPr>
          <w:rFonts w:hint="eastAsia" w:ascii="仿宋_GB2312" w:hAnsi="仿宋_GB2312" w:eastAsia="仿宋_GB2312" w:cs="仿宋_GB2312"/>
          <w:b w:val="0"/>
          <w:bCs w:val="0"/>
          <w:color w:val="000000"/>
          <w:kern w:val="0"/>
          <w:sz w:val="32"/>
          <w:szCs w:val="32"/>
          <w:highlight w:val="none"/>
          <w:lang w:val="en-US" w:eastAsia="zh-CN" w:bidi="ar"/>
        </w:rPr>
        <w:t>市工业和信息化局、</w:t>
      </w:r>
      <w:r>
        <w:rPr>
          <w:rFonts w:hint="eastAsia" w:ascii="仿宋_GB2312" w:hAnsi="仿宋_GB2312" w:eastAsia="仿宋_GB2312" w:cs="仿宋_GB2312"/>
          <w:b w:val="0"/>
          <w:bCs w:val="0"/>
          <w:color w:val="000000"/>
          <w:kern w:val="0"/>
          <w:sz w:val="32"/>
          <w:szCs w:val="32"/>
          <w:lang w:val="en-US" w:eastAsia="zh-CN" w:bidi="ar"/>
        </w:rPr>
        <w:t xml:space="preserve">市行政审批服务局，各县（市、区）政府、市属开发区管委会)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2.拓宽直接利用渠道。因建设、维护、堆坡造景、废弃矿坑和采矿塌陷地治理等需要对外接收建筑垃圾回填使用的,在符合生态环境保护要求和有关规划、实施方案的前提下,应当持用地证明和单位证明,到工程所在地县（市、区）环境卫生行政主管部门进行预约登记,未预约登记接收建筑垃圾的视为违规处置行为。(责任单位:市城管局，各县（市、区）政府、市属开发区管委会)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3.加快消纳场建设。要科学预测建筑垃圾产量,根据非资源化、非直接利用建筑垃圾总量,加快扩建新建建筑垃圾消纳场。消纳场建设要符合《建筑垃圾处理技术标准》(CJJ/T134－2019)中的填埋处置标准。各县(市、区)结合建筑垃圾产量独立建设或通过区域统筹方式共建共享建筑垃圾消纳场,重点落实各项安全加固措施,做好地基设计。鼓励国有资本、社会资本参与建设、经营建筑垃圾消纳场,建立消纳定价市场化和政府引导相结合的导向机制。(责任单位:市城管局、市发展改革委，各县（市、区）政府、市属开发区管委会)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4.规范消纳管理。各县（市、区）要向社会公布消纳场的具体位置、库容等信息,以便施工单位就近运送建筑垃圾。加强建筑垃圾消纳场扬尘污染控制,落实出入道路硬化、车辆冲洗、洒水、喷淋、作业现场覆盖、周边道路保洁等措施。完善消纳场运营监管制度和台账资料,压实企业安全生产主体责任。建立建筑垃圾堆放场所常态化安全稳定性监测机制,防止出现塌陷和滑坡事故。达到设计终场标高或停止使用的建筑垃圾消纳场,应提前制定综合利用方案,开展环境影响分析,通过堆山造景、建设公园或湿地等方式,打造城市景观,实现建筑垃圾消纳场的综合利用和生态修复。(责任单位:市城管局，各县（市、区）政府、市属开发区管委会)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b w:val="0"/>
          <w:bCs w:val="0"/>
          <w:color w:val="000000"/>
          <w:kern w:val="0"/>
          <w:sz w:val="32"/>
          <w:szCs w:val="32"/>
          <w:lang w:val="en-US" w:eastAsia="zh-CN" w:bidi="ar"/>
        </w:rPr>
        <w:t>四、保障措施</w:t>
      </w:r>
      <w:r>
        <w:rPr>
          <w:rFonts w:hint="eastAsia" w:ascii="黑体" w:hAnsi="黑体" w:eastAsia="黑体" w:cs="黑体"/>
          <w:b/>
          <w:bCs/>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color w:val="000000"/>
          <w:kern w:val="0"/>
          <w:sz w:val="32"/>
          <w:szCs w:val="32"/>
          <w:lang w:val="en-US" w:eastAsia="zh-CN" w:bidi="ar"/>
        </w:rPr>
        <w:t>（一）建立收费补偿机制。</w:t>
      </w:r>
      <w:r>
        <w:rPr>
          <w:rFonts w:hint="eastAsia" w:ascii="仿宋_GB2312" w:hAnsi="仿宋_GB2312" w:eastAsia="仿宋_GB2312" w:cs="仿宋_GB2312"/>
          <w:sz w:val="32"/>
          <w:szCs w:val="32"/>
          <w:lang w:val="en-US" w:eastAsia="zh-CN"/>
        </w:rPr>
        <w:t>建筑垃圾主管部门积极探索</w:t>
      </w:r>
      <w:r>
        <w:rPr>
          <w:rFonts w:hint="eastAsia" w:ascii="仿宋_GB2312" w:hAnsi="仿宋_GB2312" w:eastAsia="仿宋_GB2312" w:cs="仿宋_GB2312"/>
          <w:sz w:val="32"/>
          <w:szCs w:val="32"/>
        </w:rPr>
        <w:t>建筑垃圾处置收费制度，</w:t>
      </w:r>
      <w:r>
        <w:rPr>
          <w:rFonts w:hint="eastAsia" w:ascii="仿宋_GB2312" w:hAnsi="仿宋_GB2312" w:eastAsia="仿宋_GB2312" w:cs="仿宋_GB2312"/>
          <w:b w:val="0"/>
          <w:bCs w:val="0"/>
          <w:color w:val="000000"/>
          <w:kern w:val="0"/>
          <w:sz w:val="32"/>
          <w:szCs w:val="32"/>
          <w:lang w:val="en-US" w:eastAsia="zh-CN" w:bidi="ar"/>
        </w:rPr>
        <w:t xml:space="preserve">按照“谁产生、谁付费”原则,探索建立按量收费、按质计价的建筑垃圾处置收费机制，对建筑垃圾消纳与资源化利用企业进行合理补偿，保障建筑垃圾消纳与资源化利用企业健康发展。(责任单位:市发展改革委、市城管局，各县（市、区）政府、市属开发区管委会)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color w:val="000000"/>
          <w:kern w:val="0"/>
          <w:sz w:val="32"/>
          <w:szCs w:val="32"/>
          <w:lang w:val="en-US" w:eastAsia="zh-CN" w:bidi="ar"/>
        </w:rPr>
        <w:t>（二）落实政策扶持。</w:t>
      </w:r>
      <w:r>
        <w:rPr>
          <w:rFonts w:hint="eastAsia" w:ascii="仿宋_GB2312" w:hAnsi="仿宋_GB2312" w:eastAsia="仿宋_GB2312" w:cs="仿宋_GB2312"/>
          <w:b w:val="0"/>
          <w:bCs w:val="0"/>
          <w:color w:val="000000"/>
          <w:kern w:val="0"/>
          <w:sz w:val="32"/>
          <w:szCs w:val="32"/>
          <w:lang w:val="en-US" w:eastAsia="zh-CN" w:bidi="ar"/>
        </w:rPr>
        <w:t xml:space="preserve">保障建筑垃圾资源化利用和消纳设施等市政基础设施建设用地。符合《划拨用地目录》的,可通过划拨方式供应;不符合的,以有偿方式供应,鼓励采取长期租赁、先租后让、租让结合、弹性年期方式供应。发挥财税引导带动作用,通过税收优惠、贷款贴息等方式鼓励企业参与建筑垃圾资源化利用。鼓励在合法合规条件下,探索建筑垃圾资源化利用特许经营模式,经许可的企业享有所在区域建筑垃圾的优先收集权和处置权。对建筑垃圾处置单位给予适当支持。(责任单位:市城管局、市自然资源和规划局、市财政局，各县（市、区）政府、市属开发区管委会)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color w:val="000000"/>
          <w:kern w:val="0"/>
          <w:sz w:val="32"/>
          <w:szCs w:val="32"/>
          <w:lang w:val="en-US" w:eastAsia="zh-CN" w:bidi="ar"/>
        </w:rPr>
        <w:t>（三）优先使用再生产品。</w:t>
      </w:r>
      <w:r>
        <w:rPr>
          <w:rFonts w:hint="eastAsia" w:ascii="仿宋_GB2312" w:hAnsi="仿宋_GB2312" w:eastAsia="仿宋_GB2312" w:cs="仿宋_GB2312"/>
          <w:b w:val="0"/>
          <w:bCs w:val="0"/>
          <w:color w:val="000000"/>
          <w:kern w:val="0"/>
          <w:sz w:val="32"/>
          <w:szCs w:val="32"/>
          <w:lang w:val="en-US" w:eastAsia="zh-CN" w:bidi="ar"/>
        </w:rPr>
        <w:t>将符合标准的建筑垃圾再生产品作为建筑节能产品予以重点推广。鼓励将符合技术标准和质量要求的建筑垃圾再生产品纳入政府采购目录。政府投资或以政府投资为主的工程项目,优先使用建筑垃圾再生产品,做到能用尽用。鼓励在房屋建筑、市政基础设施、交通基础设施、海绵城市、园林景观和水利工程建设项目临时工程、输水渠道衬砌、水库护坡、河道护岸等非承重结构工程建设中,优先选用符合技术标准和设计、质量要求的建筑垃圾再生产品。(责任单位:市住房城乡建设局、市城管局、</w:t>
      </w:r>
      <w:r>
        <w:rPr>
          <w:rFonts w:hint="eastAsia" w:ascii="仿宋_GB2312" w:hAnsi="仿宋_GB2312" w:eastAsia="仿宋_GB2312" w:cs="仿宋_GB2312"/>
          <w:b w:val="0"/>
          <w:bCs w:val="0"/>
          <w:color w:val="000000"/>
          <w:kern w:val="0"/>
          <w:sz w:val="32"/>
          <w:szCs w:val="32"/>
          <w:highlight w:val="none"/>
          <w:lang w:val="en-US" w:eastAsia="zh-CN" w:bidi="ar"/>
        </w:rPr>
        <w:t>市工业和信息化局、</w:t>
      </w:r>
      <w:r>
        <w:rPr>
          <w:rFonts w:hint="eastAsia" w:ascii="仿宋_GB2312" w:hAnsi="仿宋_GB2312" w:eastAsia="仿宋_GB2312" w:cs="仿宋_GB2312"/>
          <w:b w:val="0"/>
          <w:bCs w:val="0"/>
          <w:color w:val="000000"/>
          <w:kern w:val="0"/>
          <w:sz w:val="32"/>
          <w:szCs w:val="32"/>
          <w:lang w:val="en-US" w:eastAsia="zh-CN" w:bidi="ar"/>
        </w:rPr>
        <w:t xml:space="preserve">市交通运输局、市水利局，各县（市、区）政府、市属开发区管委会)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color w:val="000000"/>
          <w:kern w:val="0"/>
          <w:sz w:val="32"/>
          <w:szCs w:val="32"/>
          <w:lang w:val="en-US" w:eastAsia="zh-CN" w:bidi="ar"/>
        </w:rPr>
        <w:t>（四）全面推进信息化管理。</w:t>
      </w:r>
      <w:r>
        <w:rPr>
          <w:rFonts w:hint="eastAsia" w:ascii="仿宋_GB2312" w:hAnsi="仿宋_GB2312" w:eastAsia="仿宋_GB2312" w:cs="仿宋_GB2312"/>
          <w:b w:val="0"/>
          <w:bCs w:val="0"/>
          <w:color w:val="000000"/>
          <w:kern w:val="0"/>
          <w:sz w:val="32"/>
          <w:szCs w:val="32"/>
          <w:lang w:val="en-US" w:eastAsia="zh-CN" w:bidi="ar"/>
        </w:rPr>
        <w:t>各县(市、区)要逐步将建筑垃圾综合监管服务系统建设纳入城市运行管理服务平台,通过卫星定位、监控共享等方式实现建筑垃圾从源头产生、中间收运到末端处置的全过程数字化闭环监管,确保全程可溯、责任可诉。探索建立各县（市、区）建筑垃圾产生与处置利用信息发布机制,公布建筑垃圾产生量、运输量、资源化利用企业及处置能力、消纳场位置及容量、有资质的运输企业和车辆等基础信息,公开建筑垃圾直接利用或资源化利用需求信息,推动建筑垃圾产生、运输、处置的智能调配、高效处置。及时发布公开违反建筑垃圾运输与处置法律法规规定的施工企业、建筑垃圾运输和处置企业名单。实现一个平台展示、一个平台发布、一个平台监管。(责任单位:市住房和城乡建设局、市城管局，各县（市、区）政府、市属开发区管委会)</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000000"/>
          <w:kern w:val="0"/>
          <w:sz w:val="32"/>
          <w:szCs w:val="32"/>
          <w:lang w:val="en-US" w:eastAsia="zh-CN" w:bidi="ar"/>
        </w:rPr>
        <w:t>（五）加强排查整治。</w:t>
      </w:r>
      <w:r>
        <w:rPr>
          <w:rFonts w:hint="eastAsia" w:ascii="仿宋_GB2312" w:hAnsi="仿宋_GB2312" w:eastAsia="仿宋_GB2312" w:cs="仿宋_GB2312"/>
          <w:b w:val="0"/>
          <w:bCs w:val="0"/>
          <w:color w:val="000000"/>
          <w:kern w:val="0"/>
          <w:sz w:val="32"/>
          <w:szCs w:val="32"/>
          <w:lang w:val="en-US" w:eastAsia="zh-CN" w:bidi="ar"/>
        </w:rPr>
        <w:t xml:space="preserve">严厉打击建筑垃圾随意倾倒、私自受纳等违规行为,坚决严控增量。强化非正规建筑垃圾堆放点“立体式”监管,全面排查塘沟等地违规堆存建筑垃圾问题,塘沟建筑垃圾堆体所在地街道（乡镇）为塘沟建筑垃圾堆体管控主体，履行管控责任,采取资源化利用、绿化、防渗、清理等方式推进治理。对堆放量较大、比较集中的堆放点,经治理、评估后达到安全稳定要求后,可开展封堆绿化等生态修复,有序消除存量。各县（市、区）、市属开发区定期开展存量建筑垃圾隐患排查治理,对建筑垃圾堆体稳定性、可能存在的风险和应急预案可靠性等进行检查评估,并采取清理、加固及生态修复等方式消除安全隐患。(责任单位:市住房城乡建设局、市城管局、市生态环境局、市水利局、市农业农村局、市公安局，各县（市、区）政府、市属开发区管委会) </w:t>
      </w:r>
    </w:p>
    <w:tbl>
      <w:tblPr>
        <w:tblStyle w:val="7"/>
        <w:tblpPr w:leftFromText="180" w:rightFromText="180" w:vertAnchor="text" w:horzAnchor="page" w:tblpX="1665" w:tblpY="6847"/>
        <w:tblOverlap w:val="never"/>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938" w:type="dxa"/>
            <w:tcBorders>
              <w:left w:val="nil"/>
              <w:right w:val="nil"/>
            </w:tcBorders>
            <w:noWrap w:val="0"/>
            <w:vAlign w:val="top"/>
          </w:tcPr>
          <w:p>
            <w:pPr>
              <w:keepNext w:val="0"/>
              <w:keepLines w:val="0"/>
              <w:pageBreakBefore w:val="0"/>
              <w:widowControl w:val="0"/>
              <w:kinsoku/>
              <w:overflowPunct/>
              <w:topLinePunct w:val="0"/>
              <w:bidi w:val="0"/>
              <w:spacing w:line="600" w:lineRule="exact"/>
              <w:ind w:left="0" w:leftChars="0" w:right="-68" w:firstLine="280" w:firstLineChars="100"/>
              <w:textAlignment w:val="center"/>
              <w:rPr>
                <w:rFonts w:hint="eastAsia" w:ascii="仿宋_GB2312" w:hAnsi="仿宋" w:eastAsia="仿宋_GB2312"/>
                <w:b w:val="0"/>
                <w:bCs w:val="0"/>
                <w:color w:val="auto"/>
                <w:sz w:val="28"/>
                <w:szCs w:val="28"/>
              </w:rPr>
            </w:pPr>
            <w:r>
              <w:rPr>
                <w:rFonts w:hint="eastAsia" w:ascii="仿宋_GB2312" w:hAnsi="仿宋" w:eastAsia="仿宋_GB2312"/>
                <w:b w:val="0"/>
                <w:bCs w:val="0"/>
                <w:color w:val="auto"/>
                <w:sz w:val="28"/>
                <w:szCs w:val="28"/>
              </w:rPr>
              <w:t xml:space="preserve">聊城市城市管理局办公室          </w:t>
            </w:r>
            <w:r>
              <w:rPr>
                <w:rFonts w:hint="eastAsia" w:ascii="仿宋_GB2312" w:hAnsi="仿宋" w:eastAsia="仿宋_GB2312"/>
                <w:b w:val="0"/>
                <w:bCs w:val="0"/>
                <w:color w:val="auto"/>
                <w:sz w:val="28"/>
                <w:szCs w:val="28"/>
                <w:lang w:val="en-US" w:eastAsia="zh-CN"/>
              </w:rPr>
              <w:t xml:space="preserve"> </w:t>
            </w:r>
            <w:r>
              <w:rPr>
                <w:rFonts w:hint="eastAsia" w:ascii="仿宋_GB2312" w:hAnsi="仿宋" w:eastAsia="仿宋_GB2312"/>
                <w:b w:val="0"/>
                <w:bCs w:val="0"/>
                <w:color w:val="auto"/>
                <w:sz w:val="28"/>
                <w:szCs w:val="28"/>
              </w:rPr>
              <w:t xml:space="preserve">   </w:t>
            </w:r>
            <w:r>
              <w:rPr>
                <w:rFonts w:hint="eastAsia" w:ascii="仿宋_GB2312" w:hAnsi="仿宋" w:eastAsia="仿宋_GB2312"/>
                <w:b w:val="0"/>
                <w:bCs w:val="0"/>
                <w:color w:val="auto"/>
                <w:sz w:val="28"/>
                <w:szCs w:val="28"/>
                <w:lang w:val="en-US" w:eastAsia="zh-CN"/>
              </w:rPr>
              <w:t xml:space="preserve">   </w:t>
            </w:r>
            <w:r>
              <w:rPr>
                <w:rFonts w:hint="eastAsia" w:ascii="仿宋_GB2312" w:hAnsi="仿宋" w:eastAsia="仿宋_GB2312"/>
                <w:b w:val="0"/>
                <w:bCs w:val="0"/>
                <w:color w:val="auto"/>
                <w:sz w:val="28"/>
                <w:szCs w:val="28"/>
              </w:rPr>
              <w:t xml:space="preserve"> </w:t>
            </w:r>
            <w:r>
              <w:rPr>
                <w:rFonts w:hint="eastAsia" w:ascii="仿宋_GB2312" w:hAnsi="仿宋" w:eastAsia="仿宋_GB2312"/>
                <w:b w:val="0"/>
                <w:bCs w:val="0"/>
                <w:color w:val="auto"/>
                <w:sz w:val="28"/>
                <w:szCs w:val="28"/>
                <w:lang w:val="en-US" w:eastAsia="zh-CN"/>
              </w:rPr>
              <w:t>2023</w:t>
            </w:r>
            <w:r>
              <w:rPr>
                <w:rFonts w:hint="eastAsia" w:ascii="仿宋_GB2312" w:hAnsi="仿宋" w:eastAsia="仿宋_GB2312"/>
                <w:b w:val="0"/>
                <w:bCs w:val="0"/>
                <w:color w:val="auto"/>
                <w:sz w:val="28"/>
                <w:szCs w:val="28"/>
              </w:rPr>
              <w:t>年</w:t>
            </w:r>
            <w:r>
              <w:rPr>
                <w:rFonts w:hint="eastAsia" w:ascii="仿宋_GB2312" w:hAnsi="仿宋" w:eastAsia="仿宋_GB2312"/>
                <w:b w:val="0"/>
                <w:bCs w:val="0"/>
                <w:color w:val="auto"/>
                <w:sz w:val="28"/>
                <w:szCs w:val="28"/>
                <w:lang w:val="en-US" w:eastAsia="zh-CN"/>
              </w:rPr>
              <w:t>12</w:t>
            </w:r>
            <w:r>
              <w:rPr>
                <w:rFonts w:hint="eastAsia" w:ascii="仿宋_GB2312" w:hAnsi="仿宋" w:eastAsia="仿宋_GB2312"/>
                <w:b w:val="0"/>
                <w:bCs w:val="0"/>
                <w:color w:val="auto"/>
                <w:sz w:val="28"/>
                <w:szCs w:val="28"/>
              </w:rPr>
              <w:t>月</w:t>
            </w:r>
            <w:r>
              <w:rPr>
                <w:rFonts w:hint="eastAsia" w:ascii="仿宋_GB2312" w:hAnsi="仿宋" w:eastAsia="仿宋_GB2312"/>
                <w:b w:val="0"/>
                <w:bCs w:val="0"/>
                <w:color w:val="auto"/>
                <w:sz w:val="28"/>
                <w:szCs w:val="28"/>
                <w:lang w:val="en-US" w:eastAsia="zh-CN"/>
              </w:rPr>
              <w:t>1</w:t>
            </w:r>
            <w:r>
              <w:rPr>
                <w:rFonts w:hint="eastAsia" w:ascii="仿宋_GB2312" w:hAnsi="仿宋" w:eastAsia="仿宋_GB2312"/>
                <w:b w:val="0"/>
                <w:bCs w:val="0"/>
                <w:color w:val="auto"/>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6"/>
          <w:szCs w:val="36"/>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-285115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45pt;height:144pt;width:144pt;mso-position-horizontal:outside;mso-position-horizontal-relative:margin;mso-wrap-style:none;z-index:251659264;mso-width-relative:page;mso-height-relative:page;" filled="f" stroked="f" coordsize="21600,21600" o:gfxdata="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xzcfv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F0A69"/>
    <w:multiLevelType w:val="singleLevel"/>
    <w:tmpl w:val="FF5F0A6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ODQwYmY0MGY5YmRhZWFkYmU5YTVlOGRhYzE5ZDMifQ=="/>
  </w:docVars>
  <w:rsids>
    <w:rsidRoot w:val="489374EF"/>
    <w:rsid w:val="011D075F"/>
    <w:rsid w:val="093A4A11"/>
    <w:rsid w:val="134C4470"/>
    <w:rsid w:val="137C33E4"/>
    <w:rsid w:val="173E2E0B"/>
    <w:rsid w:val="1A503AE2"/>
    <w:rsid w:val="20507364"/>
    <w:rsid w:val="22834A4E"/>
    <w:rsid w:val="2C8D7E54"/>
    <w:rsid w:val="3EAF539B"/>
    <w:rsid w:val="3F3D41EC"/>
    <w:rsid w:val="489374EF"/>
    <w:rsid w:val="4F6060FA"/>
    <w:rsid w:val="54027B24"/>
    <w:rsid w:val="5D107A3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BodyTextIndent"/>
    <w:basedOn w:val="1"/>
    <w:next w:val="3"/>
    <w:qFormat/>
    <w:uiPriority w:val="0"/>
    <w:pPr>
      <w:spacing w:after="120"/>
      <w:ind w:left="420" w:leftChars="200"/>
      <w:textAlignment w:val="baseline"/>
    </w:pPr>
    <w:rPr>
      <w:spacing w:val="2"/>
      <w:sz w:val="30"/>
      <w:szCs w:val="30"/>
    </w:rPr>
  </w:style>
  <w:style w:type="paragraph" w:styleId="3">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4">
    <w:name w:val="UserStyle_1"/>
    <w:basedOn w:val="5"/>
    <w:qFormat/>
    <w:uiPriority w:val="0"/>
    <w:pPr>
      <w:snapToGrid w:val="0"/>
      <w:spacing w:line="360" w:lineRule="auto"/>
      <w:ind w:firstLine="510"/>
    </w:pPr>
    <w:rPr>
      <w:rFonts w:ascii="Times New Roman" w:hAnsi="Times New Roman"/>
    </w:rPr>
  </w:style>
  <w:style w:type="paragraph" w:customStyle="1" w:styleId="5">
    <w:name w:val="UserStyle_0"/>
    <w:basedOn w:val="1"/>
    <w:qFormat/>
    <w:uiPriority w:val="0"/>
    <w:pPr>
      <w:spacing w:before="78" w:after="78"/>
      <w:jc w:val="center"/>
      <w:textAlignment w:val="baseline"/>
    </w:pPr>
    <w:rPr>
      <w:rFonts w:ascii="宋体" w:hAnsi="宋体"/>
      <w:b/>
      <w:spacing w:val="2"/>
      <w:sz w:val="24"/>
      <w:szCs w:val="30"/>
    </w:r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6205</Words>
  <Characters>6277</Characters>
  <Lines>0</Lines>
  <Paragraphs>0</Paragraphs>
  <TotalTime>4</TotalTime>
  <ScaleCrop>false</ScaleCrop>
  <LinksUpToDate>false</LinksUpToDate>
  <CharactersWithSpaces>6489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2020-02-19T07:34:00Z</dcterms:created>
  <dc:creator>岳</dc:creator>
  <cp:lastModifiedBy>岳</cp:lastModifiedBy>
  <cp:lastPrinted>2023-09-06T08:41:00Z</cp:lastPrinted>
  <dcterms:modified xsi:type="dcterms:W3CDTF">2023-12-08T03:29:37Z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2E8D4FAE4867457A8C8A7C27AC73CE83_12</vt:lpwstr>
  </property>
</Properties>
</file>